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mallCaps w:val="1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20" w:footer="720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u w:val="single"/>
        </w:rPr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b="0" l="0" r="0" t="0"/>
                <wp:wrapNone/>
                <wp:docPr id="7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202750" y="0"/>
                          <a:ext cx="6286500" cy="8320405"/>
                          <a:chOff x="2202750" y="0"/>
                          <a:chExt cx="6286525" cy="7560000"/>
                        </a:xfrm>
                      </wpg:grpSpPr>
                      <wpg:grpSp>
                        <wpg:cNvGrpSpPr/>
                        <wpg:grpSpPr>
                          <a:xfrm>
                            <a:off x="2202750" y="0"/>
                            <a:ext cx="6286500" cy="7560000"/>
                            <a:chOff x="2202750" y="0"/>
                            <a:chExt cx="6286500" cy="756000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2202750" y="0"/>
                              <a:ext cx="6286500" cy="75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2202750" y="0"/>
                              <a:ext cx="6286500" cy="7560000"/>
                              <a:chOff x="-133357" y="-2276513"/>
                              <a:chExt cx="6286835" cy="8320544"/>
                            </a:xfrm>
                          </wpg:grpSpPr>
                          <wps:wsp>
                            <wps:cNvSpPr/>
                            <wps:cNvPr id="5" name="Shape 5"/>
                            <wps:spPr>
                              <a:xfrm>
                                <a:off x="-133357" y="-2276513"/>
                                <a:ext cx="6286825" cy="8320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6" name="Shape 6"/>
                            <wps:spPr>
                              <a:xfrm>
                                <a:off x="2980383" y="5629376"/>
                                <a:ext cx="3173095" cy="414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00000953674316"/>
                                    <w:ind w:left="0" w:right="0" w:firstLine="0"/>
                                    <w:jc w:val="righ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  <wps:wsp>
                            <wps:cNvSpPr/>
                            <wps:cNvPr id="7" name="Shape 7"/>
                            <wps:spPr>
                              <a:xfrm>
                                <a:off x="-133357" y="-2276513"/>
                                <a:ext cx="5485128" cy="46151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75.00000953674316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75.00000953674316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75.00000953674316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75.00000953674316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75.00000953674316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75.00000953674316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1f497d"/>
                                      <w:sz w:val="72"/>
                                      <w:vertAlign w:val="baseline"/>
                                    </w:rPr>
                                    <w:t xml:space="preserve">Framework 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75.00000953674316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1f497d"/>
                                      <w:sz w:val="72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1f497d"/>
                                      <w:sz w:val="72"/>
                                      <w:vertAlign w:val="baseline"/>
                                    </w:rPr>
                                    <w:t xml:space="preserve">Award Form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200" w:before="0" w:line="275.00000953674316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1f497d"/>
                                      <w:sz w:val="72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b" bIns="45700" lIns="91425" spcFirstLastPara="1" rIns="91425" wrap="square" tIns="4570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b="0" l="0" r="0" t="0"/>
                <wp:wrapNone/>
                <wp:docPr id="7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86500" cy="832040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96523</wp:posOffset>
            </wp:positionH>
            <wp:positionV relativeFrom="paragraph">
              <wp:posOffset>1698625</wp:posOffset>
            </wp:positionV>
            <wp:extent cx="1647190" cy="1371600"/>
            <wp:effectExtent b="0" l="0" r="0" t="0"/>
            <wp:wrapNone/>
            <wp:docPr descr="Crown Commercial Service" id="8" name="image1.png"/>
            <a:graphic>
              <a:graphicData uri="http://schemas.openxmlformats.org/drawingml/2006/picture">
                <pic:pic>
                  <pic:nvPicPr>
                    <pic:cNvPr descr="Crown Commercial Service" id="0" name="image1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Framework Award Form creates the Framework Contract RM6289 Provision of Power Purchase Agreement. It summarises the main features of the procurement and includes CCS and the Supplier’s contact details.</w:t>
      </w:r>
    </w:p>
    <w:tbl>
      <w:tblPr>
        <w:tblStyle w:val="Table1"/>
        <w:tblW w:w="10531.0" w:type="dxa"/>
        <w:jc w:val="left"/>
        <w:tblInd w:w="-73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436"/>
        <w:gridCol w:w="2040"/>
        <w:gridCol w:w="8055"/>
        <w:tblGridChange w:id="0">
          <w:tblGrid>
            <w:gridCol w:w="436"/>
            <w:gridCol w:w="2040"/>
            <w:gridCol w:w="8055"/>
          </w:tblGrid>
        </w:tblGridChange>
      </w:tblGrid>
      <w:tr>
        <w:trPr>
          <w:cantSplit w:val="0"/>
          <w:trHeight w:val="1072" w:hRule="atLeast"/>
          <w:tblHeader w:val="0"/>
        </w:trPr>
        <w:tc>
          <w:tcPr/>
          <w:p w:rsidR="00000000" w:rsidDel="00000000" w:rsidP="00000000" w:rsidRDefault="00000000" w:rsidRPr="00000000" w14:paraId="00000004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CCS </w:t>
            </w:r>
          </w:p>
        </w:tc>
        <w:tc>
          <w:tcPr/>
          <w:p w:rsidR="00000000" w:rsidDel="00000000" w:rsidP="00000000" w:rsidRDefault="00000000" w:rsidRPr="00000000" w14:paraId="00000006">
            <w:pPr>
              <w:spacing w:after="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The Minister for the Cabinet Office represented by its executive agency the Crown Commercial Service (CCS). </w:t>
            </w:r>
          </w:p>
          <w:p w:rsidR="00000000" w:rsidDel="00000000" w:rsidP="00000000" w:rsidRDefault="00000000" w:rsidRPr="00000000" w14:paraId="00000007">
            <w:pPr>
              <w:spacing w:after="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spacing w:after="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Its offices are on: 9th Floor, The Capital, Old Hall Street, Liverpool L3 9PP.</w:t>
            </w:r>
          </w:p>
          <w:p w:rsidR="00000000" w:rsidDel="00000000" w:rsidP="00000000" w:rsidRDefault="00000000" w:rsidRPr="00000000" w14:paraId="00000009">
            <w:pPr>
              <w:spacing w:after="0" w:lineRule="auto"/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6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</w:t>
            </w:r>
          </w:p>
        </w:tc>
        <w:tc>
          <w:tcPr/>
          <w:p w:rsidR="00000000" w:rsidDel="00000000" w:rsidP="00000000" w:rsidRDefault="00000000" w:rsidRPr="00000000" w14:paraId="0000000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7287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400"/>
            </w:tblPr>
            <w:tblGrid>
              <w:gridCol w:w="2296"/>
              <w:gridCol w:w="4991"/>
              <w:tblGridChange w:id="0">
                <w:tblGrid>
                  <w:gridCol w:w="2296"/>
                  <w:gridCol w:w="4991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0D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Name: </w:t>
                  </w:r>
                </w:p>
              </w:tc>
              <w:tc>
                <w:tcPr/>
                <w:p w:rsidR="00000000" w:rsidDel="00000000" w:rsidP="00000000" w:rsidRDefault="00000000" w:rsidRPr="00000000" w14:paraId="0000000E">
                  <w:pPr>
                    <w:spacing w:after="0" w:lineRule="auto"/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4"/>
                      <w:szCs w:val="24"/>
                      <w:highlight w:val="yellow"/>
                      <w:rtl w:val="0"/>
                    </w:rPr>
                    <w:t xml:space="preserve">[Insert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name (registered name if registered)]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0F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Address: </w:t>
                  </w:r>
                </w:p>
              </w:tc>
              <w:tc>
                <w:tcPr/>
                <w:p w:rsidR="00000000" w:rsidDel="00000000" w:rsidP="00000000" w:rsidRDefault="00000000" w:rsidRPr="00000000" w14:paraId="00000010">
                  <w:pPr>
                    <w:spacing w:after="0" w:lineRule="auto"/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  <w:rtl w:val="0"/>
                    </w:rPr>
                    <w:t xml:space="preserve">[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4"/>
                      <w:szCs w:val="24"/>
                      <w:highlight w:val="yellow"/>
                      <w:rtl w:val="0"/>
                    </w:rPr>
                    <w:t xml:space="preserve">Insert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address registered address if registered]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11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Registration number:    </w:t>
                  </w:r>
                </w:p>
              </w:tc>
              <w:tc>
                <w:tcPr/>
                <w:p w:rsidR="00000000" w:rsidDel="00000000" w:rsidP="00000000" w:rsidRDefault="00000000" w:rsidRPr="00000000" w14:paraId="00000012">
                  <w:pPr>
                    <w:spacing w:after="0" w:lineRule="auto"/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  <w:rtl w:val="0"/>
                    </w:rPr>
                    <w:t xml:space="preserve">[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4"/>
                      <w:szCs w:val="24"/>
                      <w:highlight w:val="yellow"/>
                      <w:rtl w:val="0"/>
                    </w:rPr>
                    <w:t xml:space="preserve">Insert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 registration number if registered]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13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SID4GOV ID:</w:t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spacing w:after="0" w:lineRule="auto"/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  <w:rtl w:val="0"/>
                    </w:rPr>
                    <w:t xml:space="preserve">[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4"/>
                      <w:szCs w:val="24"/>
                      <w:highlight w:val="yellow"/>
                      <w:rtl w:val="0"/>
                    </w:rPr>
                    <w:t xml:space="preserve">Insert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 SID4GOV ID if you have on</w:t>
                  </w:r>
                  <w:r w:rsidDel="00000000" w:rsidR="00000000" w:rsidRPr="00000000">
                    <w:rPr>
                      <w:rFonts w:ascii="Arial" w:cs="Arial" w:eastAsia="Arial" w:hAnsi="Arial"/>
                      <w:sz w:val="20"/>
                      <w:szCs w:val="20"/>
                      <w:rtl w:val="0"/>
                    </w:rPr>
                    <w:t xml:space="preserve">e]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15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6">
                  <w:pPr>
                    <w:spacing w:after="0" w:lineRule="auto"/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7">
            <w:pPr>
              <w:spacing w:after="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6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4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    Framework Contract</w:t>
            </w:r>
          </w:p>
        </w:tc>
        <w:tc>
          <w:tcPr/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   This Framework Contract between CCS and the Supplier allows the Supplier to be considered for Call-Off Contracts to supply the Deliverables [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in Lot(s) [x, y]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. You cannot deliver in any other Lot under this contract. Any references made to other Lots in this contract do not apply.] </w:t>
            </w:r>
          </w:p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   This opportunity is advertised in the Contract Notice in the Find a Tender Service reference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reference number] (FTS Contract Notice).</w:t>
            </w:r>
          </w:p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7" w:hRule="atLeast"/>
          <w:tblHeader w:val="0"/>
        </w:trPr>
        <w:tc>
          <w:tcPr/>
          <w:p w:rsidR="00000000" w:rsidDel="00000000" w:rsidP="00000000" w:rsidRDefault="00000000" w:rsidRPr="00000000" w14:paraId="0000001D">
            <w:pPr>
              <w:keepNext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Deliverables </w:t>
            </w:r>
          </w:p>
        </w:tc>
        <w:tc>
          <w:tcPr/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general description of the Deliverables, by Lot if relevant]</w:t>
            </w:r>
          </w:p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See Framework Schedule 1 (Specification) for further details.</w:t>
            </w:r>
          </w:p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3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</w:t>
            </w:r>
          </w:p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Start Date</w:t>
            </w:r>
          </w:p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Day Month Year]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" w:hRule="atLeast"/>
          <w:tblHeader w:val="0"/>
        </w:trPr>
        <w:tc>
          <w:tcPr/>
          <w:p w:rsidR="00000000" w:rsidDel="00000000" w:rsidP="00000000" w:rsidRDefault="00000000" w:rsidRPr="00000000" w14:paraId="00000028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Expiry Date</w:t>
            </w:r>
          </w:p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Day Month Year]</w:t>
            </w:r>
          </w:p>
        </w:tc>
      </w:tr>
      <w:tr>
        <w:trPr>
          <w:cantSplit w:val="0"/>
          <w:trHeight w:val="471" w:hRule="atLeast"/>
          <w:tblHeader w:val="0"/>
        </w:trPr>
        <w:tc>
          <w:tcPr/>
          <w:p w:rsidR="00000000" w:rsidDel="00000000" w:rsidP="00000000" w:rsidRDefault="00000000" w:rsidRPr="00000000" w14:paraId="0000002C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Optional</w:t>
            </w:r>
          </w:p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Extension</w:t>
            </w:r>
          </w:p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Period</w:t>
            </w:r>
          </w:p>
        </w:tc>
        <w:tc>
          <w:tcPr/>
          <w:p w:rsidR="00000000" w:rsidDel="00000000" w:rsidP="00000000" w:rsidRDefault="00000000" w:rsidRPr="00000000" w14:paraId="00000031">
            <w:pPr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 about extensions of this contract]</w:t>
            </w:r>
          </w:p>
          <w:p w:rsidR="00000000" w:rsidDel="00000000" w:rsidP="00000000" w:rsidRDefault="00000000" w:rsidRPr="00000000" w14:paraId="00000032">
            <w:pPr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Up to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Day Month Year]</w:t>
            </w:r>
          </w:p>
        </w:tc>
      </w:tr>
      <w:tr>
        <w:trPr>
          <w:cantSplit w:val="0"/>
          <w:trHeight w:val="837" w:hRule="atLeast"/>
          <w:tblHeader w:val="0"/>
        </w:trPr>
        <w:tc>
          <w:tcPr/>
          <w:p w:rsidR="00000000" w:rsidDel="00000000" w:rsidP="00000000" w:rsidRDefault="00000000" w:rsidRPr="00000000" w14:paraId="00000033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Order</w:t>
            </w:r>
          </w:p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Procedure</w:t>
            </w:r>
          </w:p>
        </w:tc>
        <w:tc>
          <w:tcPr/>
          <w:p w:rsidR="00000000" w:rsidDel="00000000" w:rsidP="00000000" w:rsidRDefault="00000000" w:rsidRPr="00000000" w14:paraId="00000036">
            <w:pPr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any not relevant:]</w:t>
            </w:r>
          </w:p>
          <w:p w:rsidR="00000000" w:rsidDel="00000000" w:rsidP="00000000" w:rsidRDefault="00000000" w:rsidRPr="00000000" w14:paraId="00000037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right="936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[direct award] </w:t>
            </w:r>
          </w:p>
          <w:p w:rsidR="00000000" w:rsidDel="00000000" w:rsidP="00000000" w:rsidRDefault="00000000" w:rsidRPr="00000000" w14:paraId="00000038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right="936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[partially re-opening competition] </w:t>
            </w:r>
          </w:p>
          <w:p w:rsidR="00000000" w:rsidDel="00000000" w:rsidP="00000000" w:rsidRDefault="00000000" w:rsidRPr="00000000" w14:paraId="00000039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right="936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[further competition]</w:t>
            </w:r>
          </w:p>
          <w:p w:rsidR="00000000" w:rsidDel="00000000" w:rsidP="00000000" w:rsidRDefault="00000000" w:rsidRPr="00000000" w14:paraId="0000003A">
            <w:pPr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See Framework Schedule 7 (Call-Off Award Procedure)</w:t>
            </w:r>
          </w:p>
          <w:p w:rsidR="00000000" w:rsidDel="00000000" w:rsidP="00000000" w:rsidRDefault="00000000" w:rsidRPr="00000000" w14:paraId="0000003C">
            <w:pPr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1" w:hRule="atLeast"/>
          <w:tblHeader w:val="0"/>
        </w:trPr>
        <w:tc>
          <w:tcPr/>
          <w:p w:rsidR="00000000" w:rsidDel="00000000" w:rsidP="00000000" w:rsidRDefault="00000000" w:rsidRPr="00000000" w14:paraId="0000003D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Incorporated Terms </w:t>
            </w:r>
          </w:p>
          <w:p w:rsidR="00000000" w:rsidDel="00000000" w:rsidP="00000000" w:rsidRDefault="00000000" w:rsidRPr="00000000" w14:paraId="0000003F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(together these documents form ‘the Framework Contract’)</w:t>
            </w:r>
          </w:p>
          <w:p w:rsidR="00000000" w:rsidDel="00000000" w:rsidP="00000000" w:rsidRDefault="00000000" w:rsidRPr="00000000" w14:paraId="00000041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spacing w:after="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The following documents are incorporated into the Framework Contract. Where numbers are missing we are not using these schedules. If the documents conflict, the following order of precedence applies:</w:t>
            </w:r>
          </w:p>
          <w:p w:rsidR="00000000" w:rsidDel="00000000" w:rsidP="00000000" w:rsidRDefault="00000000" w:rsidRPr="00000000" w14:paraId="00000052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Framework Award Form</w:t>
            </w:r>
          </w:p>
          <w:p w:rsidR="00000000" w:rsidDel="00000000" w:rsidP="00000000" w:rsidRDefault="00000000" w:rsidRPr="00000000" w14:paraId="00000053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Any Framework Special Terms (see Section 10 ‘Framework Special Terms’ in this Framework Award Form)</w:t>
            </w:r>
          </w:p>
          <w:p w:rsidR="00000000" w:rsidDel="00000000" w:rsidP="00000000" w:rsidRDefault="00000000" w:rsidRPr="00000000" w14:paraId="00000054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 (Definitions)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reference number] </w:t>
            </w:r>
          </w:p>
          <w:p w:rsidR="00000000" w:rsidDel="00000000" w:rsidP="00000000" w:rsidRDefault="00000000" w:rsidRPr="00000000" w14:paraId="00000055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11 (Processing Data)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reference number]</w:t>
            </w:r>
          </w:p>
          <w:p w:rsidR="00000000" w:rsidDel="00000000" w:rsidP="00000000" w:rsidRDefault="00000000" w:rsidRPr="00000000" w14:paraId="00000056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following Schedules for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reference number] (in equal order of precedence):</w:t>
            </w:r>
          </w:p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delete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any highlighted Schedule that is not needed for this procurement.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any additional Schedule that is needed.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Remove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any highlighting remaining before publication.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Note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that the parallel section in the Order Form is handled differently.]</w:t>
            </w:r>
          </w:p>
          <w:p w:rsidR="00000000" w:rsidDel="00000000" w:rsidP="00000000" w:rsidRDefault="00000000" w:rsidRPr="00000000" w14:paraId="00000058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1 (Specification) </w:t>
            </w:r>
          </w:p>
          <w:p w:rsidR="00000000" w:rsidDel="00000000" w:rsidP="00000000" w:rsidRDefault="00000000" w:rsidRPr="00000000" w14:paraId="00000059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3 (Framework Prices)</w:t>
            </w:r>
          </w:p>
          <w:p w:rsidR="00000000" w:rsidDel="00000000" w:rsidP="00000000" w:rsidRDefault="00000000" w:rsidRPr="00000000" w14:paraId="0000005A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4 (Framework Management)</w:t>
            </w:r>
          </w:p>
          <w:p w:rsidR="00000000" w:rsidDel="00000000" w:rsidP="00000000" w:rsidRDefault="00000000" w:rsidRPr="00000000" w14:paraId="0000005B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5 (Management Charges and Information)</w:t>
            </w:r>
          </w:p>
          <w:p w:rsidR="00000000" w:rsidDel="00000000" w:rsidP="00000000" w:rsidRDefault="00000000" w:rsidRPr="00000000" w14:paraId="0000005C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6 (Order Form Template and Call-Off Schedules) including the following template Call-Off Schedules: </w:t>
            </w:r>
          </w:p>
          <w:p w:rsidR="00000000" w:rsidDel="00000000" w:rsidP="00000000" w:rsidRDefault="00000000" w:rsidRPr="00000000" w14:paraId="0000005D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1 (Transparency Reports)</w:t>
            </w:r>
          </w:p>
          <w:p w:rsidR="00000000" w:rsidDel="00000000" w:rsidP="00000000" w:rsidRDefault="00000000" w:rsidRPr="00000000" w14:paraId="0000005E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 (Staff Transfer)</w:t>
            </w:r>
          </w:p>
          <w:p w:rsidR="00000000" w:rsidDel="00000000" w:rsidP="00000000" w:rsidRDefault="00000000" w:rsidRPr="00000000" w14:paraId="0000005F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3 (Continuous Improvement)</w:t>
            </w:r>
          </w:p>
          <w:p w:rsidR="00000000" w:rsidDel="00000000" w:rsidP="00000000" w:rsidRDefault="00000000" w:rsidRPr="00000000" w14:paraId="00000060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 4 (Call-Off Tender)</w:t>
              <w:tab/>
              <w:tab/>
              <w:t xml:space="preserve">]</w:t>
            </w:r>
          </w:p>
          <w:p w:rsidR="00000000" w:rsidDel="00000000" w:rsidP="00000000" w:rsidRDefault="00000000" w:rsidRPr="00000000" w14:paraId="00000061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 5 (Pricing Details)]</w:t>
            </w:r>
          </w:p>
          <w:p w:rsidR="00000000" w:rsidDel="00000000" w:rsidP="00000000" w:rsidRDefault="00000000" w:rsidRPr="00000000" w14:paraId="00000062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 7 (Key Supplier Staff)</w:t>
              <w:tab/>
              <w:tab/>
              <w:t xml:space="preserve">]</w:t>
            </w:r>
          </w:p>
          <w:p w:rsidR="00000000" w:rsidDel="00000000" w:rsidP="00000000" w:rsidRDefault="00000000" w:rsidRPr="00000000" w14:paraId="00000063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 8 (Business Continuity and Disaster Recovery)]</w:t>
            </w:r>
          </w:p>
          <w:p w:rsidR="00000000" w:rsidDel="00000000" w:rsidP="00000000" w:rsidRDefault="00000000" w:rsidRPr="00000000" w14:paraId="00000064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 9 (Security)</w:t>
              <w:tab/>
              <w:tab/>
              <w:t xml:space="preserve"> </w:t>
              <w:tab/>
              <w:t xml:space="preserve">] </w:t>
            </w:r>
          </w:p>
          <w:p w:rsidR="00000000" w:rsidDel="00000000" w:rsidP="00000000" w:rsidRDefault="00000000" w:rsidRPr="00000000" w14:paraId="00000065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 10 (Exit Management) </w:t>
              <w:tab/>
              <w:t xml:space="preserve">]</w:t>
            </w:r>
          </w:p>
          <w:p w:rsidR="00000000" w:rsidDel="00000000" w:rsidP="00000000" w:rsidRDefault="00000000" w:rsidRPr="00000000" w14:paraId="00000066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 12 (Clustering) </w:t>
              <w:tab/>
              <w:tab/>
              <w:t xml:space="preserve">]</w:t>
            </w:r>
          </w:p>
          <w:p w:rsidR="00000000" w:rsidDel="00000000" w:rsidP="00000000" w:rsidRDefault="00000000" w:rsidRPr="00000000" w14:paraId="00000067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 14 (Service Levels) </w:t>
              <w:tab/>
              <w:tab/>
              <w:t xml:space="preserve">]</w:t>
            </w:r>
          </w:p>
          <w:p w:rsidR="00000000" w:rsidDel="00000000" w:rsidP="00000000" w:rsidRDefault="00000000" w:rsidRPr="00000000" w14:paraId="00000068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 15 (Call-Off Contract Management)]</w:t>
            </w:r>
          </w:p>
          <w:p w:rsidR="00000000" w:rsidDel="00000000" w:rsidP="00000000" w:rsidRDefault="00000000" w:rsidRPr="00000000" w14:paraId="00000069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 17 (MOD Terms) </w:t>
              <w:tab/>
              <w:tab/>
              <w:t xml:space="preserve">]               </w:t>
            </w:r>
          </w:p>
          <w:p w:rsidR="00000000" w:rsidDel="00000000" w:rsidP="00000000" w:rsidRDefault="00000000" w:rsidRPr="00000000" w14:paraId="0000006A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 18 (Background Checks) </w:t>
              <w:tab/>
              <w:t xml:space="preserve">]</w:t>
            </w:r>
          </w:p>
          <w:p w:rsidR="00000000" w:rsidDel="00000000" w:rsidP="00000000" w:rsidRDefault="00000000" w:rsidRPr="00000000" w14:paraId="0000006B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 19 (Scottish Law)</w:t>
              <w:tab/>
              <w:tab/>
              <w:t xml:space="preserve">]  </w:t>
            </w:r>
          </w:p>
          <w:p w:rsidR="00000000" w:rsidDel="00000000" w:rsidP="00000000" w:rsidRDefault="00000000" w:rsidRPr="00000000" w14:paraId="0000006C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 20 (Call-Off Specification)]  </w:t>
            </w:r>
          </w:p>
          <w:p w:rsidR="00000000" w:rsidDel="00000000" w:rsidP="00000000" w:rsidRDefault="00000000" w:rsidRPr="00000000" w14:paraId="0000006D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[Call-Off Schedule 23 (HMRC Terms)                ] </w:t>
            </w:r>
          </w:p>
          <w:p w:rsidR="00000000" w:rsidDel="00000000" w:rsidP="00000000" w:rsidRDefault="00000000" w:rsidRPr="00000000" w14:paraId="0000006E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[Call-Off Schedule 24 (Corporate Resolution Planning)                    </w:t>
              <w:tab/>
              <w:tab/>
              <w:tab/>
              <w:tab/>
              <w:t xml:space="preserve">]</w:t>
            </w:r>
          </w:p>
          <w:p w:rsidR="00000000" w:rsidDel="00000000" w:rsidP="00000000" w:rsidRDefault="00000000" w:rsidRPr="00000000" w14:paraId="0000006F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[Call-Off Schedule 25 (Call-Off PPA Terms)]</w:t>
            </w:r>
          </w:p>
          <w:p w:rsidR="00000000" w:rsidDel="00000000" w:rsidP="00000000" w:rsidRDefault="00000000" w:rsidRPr="00000000" w14:paraId="00000070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[Call-Off Schedule 26 (Availability Guarantee)]</w:t>
            </w:r>
          </w:p>
          <w:p w:rsidR="00000000" w:rsidDel="00000000" w:rsidP="00000000" w:rsidRDefault="00000000" w:rsidRPr="00000000" w14:paraId="00000071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[Call-Off Schedule 27 (Environmental Attributes)]</w:t>
            </w:r>
          </w:p>
          <w:p w:rsidR="00000000" w:rsidDel="00000000" w:rsidP="00000000" w:rsidRDefault="00000000" w:rsidRPr="00000000" w14:paraId="00000072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[Call-Off Schedule 28 (Calculation of Termination Amount)]</w:t>
            </w:r>
          </w:p>
          <w:p w:rsidR="00000000" w:rsidDel="00000000" w:rsidP="00000000" w:rsidRDefault="00000000" w:rsidRPr="00000000" w14:paraId="00000073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[Call-Off Schedule 29 (Form of Lender’s Direct Agreement)]</w:t>
            </w:r>
          </w:p>
          <w:p w:rsidR="00000000" w:rsidDel="00000000" w:rsidP="00000000" w:rsidRDefault="00000000" w:rsidRPr="00000000" w14:paraId="00000074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[Call-Off Schedule 30 (Sleeving Arrangements)]</w:t>
            </w:r>
          </w:p>
          <w:p w:rsidR="00000000" w:rsidDel="00000000" w:rsidP="00000000" w:rsidRDefault="00000000" w:rsidRPr="00000000" w14:paraId="00000075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[Call-Off Schedule 30 (PPA Contracting Structure)]</w:t>
            </w:r>
          </w:p>
          <w:p w:rsidR="00000000" w:rsidDel="00000000" w:rsidP="00000000" w:rsidRDefault="00000000" w:rsidRPr="00000000" w14:paraId="00000076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[Call-Off Schedule 31 (New Build Facilities)]</w:t>
            </w:r>
          </w:p>
          <w:p w:rsidR="00000000" w:rsidDel="00000000" w:rsidP="00000000" w:rsidRDefault="00000000" w:rsidRPr="00000000" w14:paraId="00000077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7 (Call-Off Award Procedure)</w:t>
            </w:r>
          </w:p>
          <w:p w:rsidR="00000000" w:rsidDel="00000000" w:rsidP="00000000" w:rsidRDefault="00000000" w:rsidRPr="00000000" w14:paraId="00000078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8 (Self Audit Certificate)</w:t>
            </w:r>
          </w:p>
          <w:p w:rsidR="00000000" w:rsidDel="00000000" w:rsidP="00000000" w:rsidRDefault="00000000" w:rsidRPr="00000000" w14:paraId="00000079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[Framework Schedule 9 (Cyber Essentials Scheme)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A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2 (Variation Form)</w:t>
            </w:r>
          </w:p>
          <w:p w:rsidR="00000000" w:rsidDel="00000000" w:rsidP="00000000" w:rsidRDefault="00000000" w:rsidRPr="00000000" w14:paraId="0000007B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3 (Insurance Requirements)</w:t>
            </w:r>
          </w:p>
          <w:p w:rsidR="00000000" w:rsidDel="00000000" w:rsidP="00000000" w:rsidRDefault="00000000" w:rsidRPr="00000000" w14:paraId="0000007C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4 (Commercially Sensitive Information)</w:t>
            </w:r>
          </w:p>
          <w:p w:rsidR="00000000" w:rsidDel="00000000" w:rsidP="00000000" w:rsidRDefault="00000000" w:rsidRPr="00000000" w14:paraId="0000007D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[Joint Schedule 6 (Key Subcontractors)]</w:t>
            </w:r>
          </w:p>
          <w:p w:rsidR="00000000" w:rsidDel="00000000" w:rsidP="00000000" w:rsidRDefault="00000000" w:rsidRPr="00000000" w14:paraId="0000007E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[Joint Schedule 7 (Financial Difficulties)]</w:t>
            </w:r>
          </w:p>
          <w:p w:rsidR="00000000" w:rsidDel="00000000" w:rsidP="00000000" w:rsidRDefault="00000000" w:rsidRPr="00000000" w14:paraId="0000007F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[Joint Schedule 8 (Guarantee)]</w:t>
            </w:r>
          </w:p>
          <w:p w:rsidR="00000000" w:rsidDel="00000000" w:rsidP="00000000" w:rsidRDefault="00000000" w:rsidRPr="00000000" w14:paraId="0000008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[Joint Schedule 9 (Minimum Standards of Reliability)]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10 (Rectification Plan)</w:t>
            </w:r>
          </w:p>
          <w:p w:rsidR="00000000" w:rsidDel="00000000" w:rsidP="00000000" w:rsidRDefault="00000000" w:rsidRPr="00000000" w14:paraId="00000082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[Joint Schedule 12 (Supply Chain Visibility)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]</w:t>
            </w:r>
          </w:p>
          <w:p w:rsidR="00000000" w:rsidDel="00000000" w:rsidP="00000000" w:rsidRDefault="00000000" w:rsidRPr="00000000" w14:paraId="00000083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CCS Core Terms (version 3.0.11)</w:t>
            </w:r>
          </w:p>
          <w:p w:rsidR="00000000" w:rsidDel="00000000" w:rsidP="00000000" w:rsidRDefault="00000000" w:rsidRPr="00000000" w14:paraId="00000084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5 (Corporate Social Responsibility)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reference number]</w:t>
            </w:r>
          </w:p>
          <w:p w:rsidR="00000000" w:rsidDel="00000000" w:rsidP="00000000" w:rsidRDefault="00000000" w:rsidRPr="00000000" w14:paraId="00000085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2 (Framework Tender)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reference number] as long as any part of the Framework Tender that offers a better commercial position for CCS or Buyers (as decided by CCS) take precedence over the documents above </w:t>
            </w:r>
          </w:p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87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Special Terms</w:t>
            </w:r>
          </w:p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Special Term 1 -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terms to revise or supplement Core Terms or Schedules, 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enter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‘N/A’ and delete the extra rows below]</w:t>
            </w:r>
          </w:p>
          <w:p w:rsidR="00000000" w:rsidDel="00000000" w:rsidP="00000000" w:rsidRDefault="00000000" w:rsidRPr="00000000" w14:paraId="0000008C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run any proposed special terms past the Policy Implementation team. Please email operationalsupport@crowncommercial.gov.uk]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6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Special Term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2 -  ]</w:t>
            </w:r>
          </w:p>
        </w:tc>
      </w:tr>
      <w:tr>
        <w:trPr>
          <w:cantSplit w:val="0"/>
          <w:trHeight w:val="69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Special Term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3 -  ]</w:t>
            </w:r>
          </w:p>
        </w:tc>
      </w:tr>
      <w:tr>
        <w:trPr>
          <w:cantSplit w:val="0"/>
          <w:trHeight w:val="55" w:hRule="atLeast"/>
          <w:tblHeader w:val="0"/>
        </w:trPr>
        <w:tc>
          <w:tcPr/>
          <w:p w:rsidR="00000000" w:rsidDel="00000000" w:rsidP="00000000" w:rsidRDefault="00000000" w:rsidRPr="00000000" w14:paraId="00000093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Prices </w:t>
            </w:r>
          </w:p>
        </w:tc>
        <w:tc>
          <w:tcPr/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information about the prices]</w:t>
            </w:r>
          </w:p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in Framework Schedule 3 (Framework Prices)</w:t>
            </w:r>
          </w:p>
        </w:tc>
      </w:tr>
      <w:tr>
        <w:trPr>
          <w:cantSplit w:val="0"/>
          <w:trHeight w:val="569" w:hRule="atLeast"/>
          <w:tblHeader w:val="0"/>
        </w:trPr>
        <w:tc>
          <w:tcPr/>
          <w:p w:rsidR="00000000" w:rsidDel="00000000" w:rsidP="00000000" w:rsidRDefault="00000000" w:rsidRPr="00000000" w14:paraId="00000098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Insurance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Details in Annex of Joint Schedule 3 (Insurance Requirements).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39" w:hRule="atLeast"/>
          <w:tblHeader w:val="0"/>
        </w:trPr>
        <w:tc>
          <w:tcPr/>
          <w:p w:rsidR="00000000" w:rsidDel="00000000" w:rsidP="00000000" w:rsidRDefault="00000000" w:rsidRPr="00000000" w14:paraId="0000009B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Cyber </w:t>
            </w:r>
          </w:p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Essentials Certification</w:t>
            </w:r>
          </w:p>
        </w:tc>
        <w:tc>
          <w:tcPr/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if not required]</w:t>
            </w:r>
          </w:p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[Not required] </w:t>
            </w:r>
          </w:p>
          <w:p w:rsidR="00000000" w:rsidDel="00000000" w:rsidP="00000000" w:rsidRDefault="00000000" w:rsidRPr="00000000" w14:paraId="000000A1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[Cyber Essentials Scheme [Basic / Plus] Certificate (or equivalent). Details in Framework Schedule F9 (Cyber Essentials Scheme)]</w:t>
            </w:r>
          </w:p>
        </w:tc>
      </w:tr>
      <w:tr>
        <w:trPr>
          <w:cantSplit w:val="0"/>
          <w:trHeight w:val="731" w:hRule="atLeast"/>
          <w:tblHeader w:val="0"/>
        </w:trPr>
        <w:tc>
          <w:tcPr/>
          <w:p w:rsidR="00000000" w:rsidDel="00000000" w:rsidP="00000000" w:rsidRDefault="00000000" w:rsidRPr="00000000" w14:paraId="000000A2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Management Charge</w:t>
            </w:r>
          </w:p>
        </w:tc>
        <w:tc>
          <w:tcPr/>
          <w:p w:rsidR="00000000" w:rsidDel="00000000" w:rsidP="00000000" w:rsidRDefault="00000000" w:rsidRPr="00000000" w14:paraId="000000A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The Supplier will pay, excluding VAT,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Management Charge] % of all the Charges for the Deliverables invoiced to the Buyer under all Call-Off Contracts.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A5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Manager</w:t>
            </w:r>
          </w:p>
        </w:tc>
        <w:tc>
          <w:tcPr/>
          <w:p w:rsidR="00000000" w:rsidDel="00000000" w:rsidP="00000000" w:rsidRDefault="00000000" w:rsidRPr="00000000" w14:paraId="000000A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A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A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A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phone number]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AD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Authorised Representative</w:t>
            </w:r>
          </w:p>
        </w:tc>
        <w:tc>
          <w:tcPr/>
          <w:p w:rsidR="00000000" w:rsidDel="00000000" w:rsidP="00000000" w:rsidRDefault="00000000" w:rsidRPr="00000000" w14:paraId="000000B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B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B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B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phone number]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B4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Compliance Officer</w:t>
            </w:r>
          </w:p>
        </w:tc>
        <w:tc>
          <w:tcPr/>
          <w:p w:rsidR="00000000" w:rsidDel="00000000" w:rsidP="00000000" w:rsidRDefault="00000000" w:rsidRPr="00000000" w14:paraId="000000B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B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B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B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phone number]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BB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Data Protection </w:t>
            </w:r>
          </w:p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Officer</w:t>
            </w:r>
          </w:p>
        </w:tc>
        <w:tc>
          <w:tcPr/>
          <w:p w:rsidR="00000000" w:rsidDel="00000000" w:rsidP="00000000" w:rsidRDefault="00000000" w:rsidRPr="00000000" w14:paraId="000000B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B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C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C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phone number]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C2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Data Protection Liability Cap</w:t>
            </w:r>
          </w:p>
        </w:tc>
        <w:tc>
          <w:tcPr/>
          <w:p w:rsidR="00000000" w:rsidDel="00000000" w:rsidP="00000000" w:rsidRDefault="00000000" w:rsidRPr="00000000" w14:paraId="000000C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[£10,000,000]</w:t>
            </w:r>
          </w:p>
          <w:p w:rsidR="00000000" w:rsidDel="00000000" w:rsidP="00000000" w:rsidRDefault="00000000" w:rsidRPr="00000000" w14:paraId="000000C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Category colleagues must consider whether the £10 million Data Protection Liability Cap within Clause 11.6 is appropriate for their procurement.  Adjustments to the default £10 million value must be justified.  If an adjustment is required replace the “[£10,000,000]” in this line of the Framework Award Form with the required cap as a number denominated in pounds sterling.]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C7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Marketing Contact</w:t>
            </w:r>
          </w:p>
        </w:tc>
        <w:tc>
          <w:tcPr/>
          <w:p w:rsidR="00000000" w:rsidDel="00000000" w:rsidP="00000000" w:rsidRDefault="00000000" w:rsidRPr="00000000" w14:paraId="000000C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C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C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C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phone number]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CE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Key Subcontractors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0">
            <w:pPr>
              <w:spacing w:after="120" w:before="12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Key Subcontractor 1</w:t>
            </w:r>
          </w:p>
          <w:p w:rsidR="00000000" w:rsidDel="00000000" w:rsidP="00000000" w:rsidRDefault="00000000" w:rsidRPr="00000000" w14:paraId="000000D1">
            <w:pPr>
              <w:spacing w:after="120" w:before="12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Name (Registered name if registered) 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D2">
            <w:pPr>
              <w:spacing w:after="120" w:before="12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Registration number (if registered) 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number]</w:t>
            </w:r>
          </w:p>
          <w:p w:rsidR="00000000" w:rsidDel="00000000" w:rsidP="00000000" w:rsidRDefault="00000000" w:rsidRPr="00000000" w14:paraId="000000D3">
            <w:pPr>
              <w:spacing w:after="120" w:before="12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Role of Subcontractor 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role]</w:t>
            </w:r>
          </w:p>
          <w:p w:rsidR="00000000" w:rsidDel="00000000" w:rsidP="00000000" w:rsidRDefault="00000000" w:rsidRPr="00000000" w14:paraId="000000D4">
            <w:pPr>
              <w:spacing w:after="120" w:before="120" w:lineRule="auto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[Guidance: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copy above lines as needed]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D5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CCS </w:t>
            </w:r>
          </w:p>
          <w:p w:rsidR="00000000" w:rsidDel="00000000" w:rsidP="00000000" w:rsidRDefault="00000000" w:rsidRPr="00000000" w14:paraId="000000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Authorised Representative</w:t>
            </w:r>
          </w:p>
        </w:tc>
        <w:tc>
          <w:tcPr/>
          <w:p w:rsidR="00000000" w:rsidDel="00000000" w:rsidP="00000000" w:rsidRDefault="00000000" w:rsidRPr="00000000" w14:paraId="000000D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name]</w:t>
            </w:r>
          </w:p>
          <w:p w:rsidR="00000000" w:rsidDel="00000000" w:rsidP="00000000" w:rsidRDefault="00000000" w:rsidRPr="00000000" w14:paraId="000000D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D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D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phone number]</w:t>
            </w:r>
          </w:p>
        </w:tc>
      </w:tr>
    </w:tbl>
    <w:p w:rsidR="00000000" w:rsidDel="00000000" w:rsidP="00000000" w:rsidRDefault="00000000" w:rsidRPr="00000000" w14:paraId="000000D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170.000000000002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1526"/>
        <w:gridCol w:w="2980"/>
        <w:gridCol w:w="1698"/>
        <w:gridCol w:w="2966"/>
        <w:tblGridChange w:id="0">
          <w:tblGrid>
            <w:gridCol w:w="1526"/>
            <w:gridCol w:w="2980"/>
            <w:gridCol w:w="1698"/>
            <w:gridCol w:w="2966"/>
          </w:tblGrid>
        </w:tblGridChange>
      </w:tblGrid>
      <w:tr>
        <w:trPr>
          <w:cantSplit w:val="0"/>
          <w:trHeight w:val="63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DE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For and on behalf of the Supplier: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E0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For and on behalf of CCS:</w:t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E2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Signature:</w:t>
            </w:r>
          </w:p>
        </w:tc>
        <w:tc>
          <w:tcPr/>
          <w:p w:rsidR="00000000" w:rsidDel="00000000" w:rsidP="00000000" w:rsidRDefault="00000000" w:rsidRPr="00000000" w14:paraId="000000E3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4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Signature:</w:t>
            </w:r>
          </w:p>
        </w:tc>
        <w:tc>
          <w:tcPr/>
          <w:p w:rsidR="00000000" w:rsidDel="00000000" w:rsidP="00000000" w:rsidRDefault="00000000" w:rsidRPr="00000000" w14:paraId="000000E5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E6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Name:</w:t>
            </w:r>
          </w:p>
        </w:tc>
        <w:tc>
          <w:tcPr/>
          <w:p w:rsidR="00000000" w:rsidDel="00000000" w:rsidP="00000000" w:rsidRDefault="00000000" w:rsidRPr="00000000" w14:paraId="000000E7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8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Name:</w:t>
            </w:r>
          </w:p>
        </w:tc>
        <w:tc>
          <w:tcPr/>
          <w:p w:rsidR="00000000" w:rsidDel="00000000" w:rsidP="00000000" w:rsidRDefault="00000000" w:rsidRPr="00000000" w14:paraId="000000E9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EA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Role:</w:t>
            </w:r>
          </w:p>
        </w:tc>
        <w:tc>
          <w:tcPr/>
          <w:p w:rsidR="00000000" w:rsidDel="00000000" w:rsidP="00000000" w:rsidRDefault="00000000" w:rsidRPr="00000000" w14:paraId="000000EB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C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Role:</w:t>
            </w:r>
          </w:p>
        </w:tc>
        <w:tc>
          <w:tcPr/>
          <w:p w:rsidR="00000000" w:rsidDel="00000000" w:rsidP="00000000" w:rsidRDefault="00000000" w:rsidRPr="00000000" w14:paraId="000000ED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63" w:hRule="atLeast"/>
          <w:tblHeader w:val="0"/>
        </w:trPr>
        <w:tc>
          <w:tcPr/>
          <w:p w:rsidR="00000000" w:rsidDel="00000000" w:rsidP="00000000" w:rsidRDefault="00000000" w:rsidRPr="00000000" w14:paraId="000000EE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Date:</w:t>
            </w:r>
          </w:p>
        </w:tc>
        <w:tc>
          <w:tcPr/>
          <w:p w:rsidR="00000000" w:rsidDel="00000000" w:rsidP="00000000" w:rsidRDefault="00000000" w:rsidRPr="00000000" w14:paraId="000000EF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0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Date:</w:t>
            </w:r>
          </w:p>
        </w:tc>
        <w:tc>
          <w:tcPr/>
          <w:p w:rsidR="00000000" w:rsidDel="00000000" w:rsidP="00000000" w:rsidRDefault="00000000" w:rsidRPr="00000000" w14:paraId="000000F1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bookmarkStart w:colFirst="0" w:colLast="0" w:name="bookmark=id.30j0zll" w:id="1"/>
    <w:bookmarkEnd w:id="1"/>
    <w:p w:rsidR="00000000" w:rsidDel="00000000" w:rsidP="00000000" w:rsidRDefault="00000000" w:rsidRPr="00000000" w14:paraId="000000F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92" w:firstLine="0"/>
        <w:rPr>
          <w:rFonts w:ascii="Arial" w:cs="Arial" w:eastAsia="Arial" w:hAnsi="Arial"/>
          <w:i w:val="1"/>
          <w:color w:val="000000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8">
    <w:pPr>
      <w:tabs>
        <w:tab w:val="center" w:leader="none" w:pos="4513"/>
        <w:tab w:val="right" w:leader="none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9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RM6289 Provision of Power Purchase Agreement</w:t>
      <w:tab/>
      <w:t xml:space="preserve">                                           </w:t>
    </w:r>
  </w:p>
  <w:p w:rsidR="00000000" w:rsidDel="00000000" w:rsidP="00000000" w:rsidRDefault="00000000" w:rsidRPr="00000000" w14:paraId="000000F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B">
    <w:pPr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v3.11</w:t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F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Project Version: v1.0</w:t>
      <w:tab/>
      <w:tab/>
      <w:tab/>
      <w:t xml:space="preserve"> </w:t>
    </w:r>
    <w:r w:rsidDel="00000000" w:rsidR="00000000" w:rsidRPr="00000000">
      <w:rPr>
        <w:rFonts w:ascii="Arial" w:cs="Arial" w:eastAsia="Arial" w:hAnsi="Arial"/>
        <w:color w:val="a6a6a6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F">
    <w:pPr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 : v2.9</w:t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Framework Award Form</w:t>
    </w:r>
  </w:p>
  <w:p w:rsidR="00000000" w:rsidDel="00000000" w:rsidP="00000000" w:rsidRDefault="00000000" w:rsidRPr="00000000" w14:paraId="000000F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Crown Copyright 2024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b w:val="1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a6a6a6"/>
        <w:sz w:val="20"/>
        <w:szCs w:val="20"/>
        <w:rtl w:val="0"/>
      </w:rPr>
      <w:t xml:space="preserve">Framework Award Form</w:t>
    </w:r>
  </w:p>
  <w:p w:rsidR="00000000" w:rsidDel="00000000" w:rsidP="00000000" w:rsidRDefault="00000000" w:rsidRPr="00000000" w14:paraId="000000F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F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15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87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59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31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03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75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47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45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decimal"/>
      <w:lvlText w:val="%1."/>
      <w:lvlJc w:val="left"/>
      <w:pPr>
        <w:ind w:left="644" w:hanging="358.99999999999994"/>
      </w:pPr>
      <w:rPr>
        <w:b w:val="1"/>
      </w:rPr>
    </w:lvl>
    <w:lvl w:ilvl="1">
      <w:start w:val="1"/>
      <w:numFmt w:val="lowerLetter"/>
      <w:lvlText w:val="%2."/>
      <w:lvlJc w:val="left"/>
      <w:pPr>
        <w:ind w:left="1364" w:hanging="360"/>
      </w:pPr>
      <w:rPr/>
    </w:lvl>
    <w:lvl w:ilvl="2">
      <w:start w:val="1"/>
      <w:numFmt w:val="lowerRoman"/>
      <w:lvlText w:val="%3."/>
      <w:lvlJc w:val="right"/>
      <w:pPr>
        <w:ind w:left="2084" w:hanging="180"/>
      </w:pPr>
      <w:rPr/>
    </w:lvl>
    <w:lvl w:ilvl="3">
      <w:start w:val="1"/>
      <w:numFmt w:val="decimal"/>
      <w:lvlText w:val="%4."/>
      <w:lvlJc w:val="left"/>
      <w:pPr>
        <w:ind w:left="2804" w:hanging="360"/>
      </w:pPr>
      <w:rPr/>
    </w:lvl>
    <w:lvl w:ilvl="4">
      <w:start w:val="1"/>
      <w:numFmt w:val="lowerLetter"/>
      <w:lvlText w:val="%5."/>
      <w:lvlJc w:val="left"/>
      <w:pPr>
        <w:ind w:left="3524" w:hanging="360"/>
      </w:pPr>
      <w:rPr/>
    </w:lvl>
    <w:lvl w:ilvl="5">
      <w:start w:val="1"/>
      <w:numFmt w:val="lowerRoman"/>
      <w:lvlText w:val="%6."/>
      <w:lvlJc w:val="right"/>
      <w:pPr>
        <w:ind w:left="4244" w:hanging="180"/>
      </w:pPr>
      <w:rPr/>
    </w:lvl>
    <w:lvl w:ilvl="6">
      <w:start w:val="1"/>
      <w:numFmt w:val="decimal"/>
      <w:lvlText w:val="%7."/>
      <w:lvlJc w:val="left"/>
      <w:pPr>
        <w:ind w:left="4964" w:hanging="360"/>
      </w:pPr>
      <w:rPr/>
    </w:lvl>
    <w:lvl w:ilvl="7">
      <w:start w:val="1"/>
      <w:numFmt w:val="lowerLetter"/>
      <w:lvlText w:val="%8."/>
      <w:lvlJc w:val="left"/>
      <w:pPr>
        <w:ind w:left="5684" w:hanging="360"/>
      </w:pPr>
      <w:rPr/>
    </w:lvl>
    <w:lvl w:ilvl="8">
      <w:start w:val="1"/>
      <w:numFmt w:val="lowerRoman"/>
      <w:lvlText w:val="%9."/>
      <w:lvlJc w:val="right"/>
      <w:pPr>
        <w:ind w:left="6404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tabs>
        <w:tab w:val="left" w:leader="none" w:pos="-5585"/>
      </w:tabs>
      <w:spacing w:after="120" w:line="240" w:lineRule="auto"/>
      <w:ind w:left="3600" w:hanging="360"/>
      <w:jc w:val="both"/>
    </w:pPr>
    <w:rPr>
      <w:rFonts w:ascii="Arial" w:cs="Arial" w:eastAsia="Arial" w:hAnsi="Arial"/>
    </w:rPr>
  </w:style>
  <w:style w:type="paragraph" w:styleId="Heading6">
    <w:name w:val="heading 6"/>
    <w:basedOn w:val="Normal"/>
    <w:next w:val="Normal"/>
    <w:pPr>
      <w:tabs>
        <w:tab w:val="left" w:leader="none" w:pos="-8987"/>
        <w:tab w:val="left" w:leader="none" w:pos="-8420"/>
      </w:tabs>
      <w:spacing w:after="120" w:line="240" w:lineRule="auto"/>
      <w:ind w:left="3600" w:hanging="360"/>
      <w:jc w:val="both"/>
    </w:pPr>
    <w:rPr>
      <w:rFonts w:ascii="Arial" w:cs="Arial" w:eastAsia="Arial" w:hAnsi="Arial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pPr>
      <w:suppressAutoHyphens w:val="1"/>
    </w:pPr>
    <w:rPr>
      <w:lang w:eastAsia="en-US"/>
    </w:rPr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numbering" w:styleId="WWOutlineListStyle8" w:customStyle="1">
    <w:name w:val="WW_OutlineListStyle_8"/>
    <w:basedOn w:val="NoList"/>
  </w:style>
  <w:style w:type="paragraph" w:styleId="Level1Heading" w:customStyle="1">
    <w:name w:val="Level 1 Heading"/>
    <w:basedOn w:val="BodyText"/>
    <w:next w:val="Normal"/>
    <w:pPr>
      <w:keepNext w:val="1"/>
      <w:tabs>
        <w:tab w:val="left" w:pos="-1342"/>
      </w:tabs>
      <w:suppressAutoHyphens w:val="0"/>
      <w:spacing w:after="200" w:before="360" w:line="360" w:lineRule="auto"/>
      <w:outlineLvl w:val="0"/>
    </w:pPr>
    <w:rPr>
      <w:rFonts w:ascii="Arial" w:eastAsia="Times New Roman" w:hAnsi="Arial"/>
      <w:b w:val="1"/>
      <w:szCs w:val="20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-3864"/>
      </w:tabs>
      <w:suppressAutoHyphens w:val="0"/>
      <w:spacing w:after="240" w:before="240" w:line="240" w:lineRule="auto"/>
      <w:jc w:val="both"/>
      <w:outlineLvl w:val="1"/>
    </w:pPr>
    <w:rPr>
      <w:rFonts w:ascii="Arial Bold" w:cs="Arial" w:eastAsia="STZhongsong" w:hAnsi="Arial Bold"/>
      <w:b w:val="1"/>
      <w:caps w:val="1"/>
      <w:lang w:eastAsia="zh-CN"/>
    </w:rPr>
  </w:style>
  <w:style w:type="character" w:styleId="Heading5Char" w:customStyle="1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styleId="Heading6Char" w:customStyle="1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suppressAutoHyphens w:val="0"/>
      <w:spacing w:after="120" w:before="120" w:line="240" w:lineRule="auto"/>
      <w:ind w:left="1494" w:hanging="218"/>
      <w:jc w:val="both"/>
    </w:pPr>
    <w:rPr>
      <w:rFonts w:cs="Arial" w:eastAsia="Times New Roman"/>
      <w:b w:val="1"/>
      <w:lang w:eastAsia="zh-CN"/>
    </w:rPr>
  </w:style>
  <w:style w:type="paragraph" w:styleId="BodyText1" w:customStyle="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 w:val="1"/>
      <w:iCs w:val="1"/>
    </w:rPr>
  </w:style>
  <w:style w:type="paragraph" w:styleId="11table" w:customStyle="1">
    <w:name w:val="1.1 table"/>
    <w:basedOn w:val="Normal"/>
    <w:qFormat w:val="1"/>
    <w:pPr>
      <w:numPr>
        <w:numId w:val="6"/>
      </w:numPr>
      <w:suppressAutoHyphens w:val="0"/>
      <w:spacing w:after="0" w:line="240" w:lineRule="auto"/>
    </w:pPr>
    <w:rPr>
      <w:rFonts w:eastAsia="STZhongsong"/>
      <w:b w:val="1"/>
      <w:lang w:eastAsia="zh-CN"/>
    </w:rPr>
  </w:style>
  <w:style w:type="character" w:styleId="11tableChar" w:customStyle="1">
    <w:name w:val="1.1 table Char"/>
    <w:rPr>
      <w:rFonts w:eastAsia="STZhongsong"/>
      <w:b w:val="1"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rPr>
      <w:rFonts w:ascii="Tahoma" w:cs="Tahoma" w:hAnsi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uiPriority w:val="99"/>
    <w:rPr>
      <w:sz w:val="22"/>
      <w:szCs w:val="22"/>
      <w:lang w:eastAsia="en-US"/>
    </w:rPr>
  </w:style>
  <w:style w:type="paragraph" w:styleId="MarginText" w:customStyle="1">
    <w:name w:val="Margin Text"/>
    <w:basedOn w:val="Normal"/>
    <w:pPr>
      <w:keepNext w:val="1"/>
      <w:suppressAutoHyphens w:val="0"/>
      <w:spacing w:after="120" w:before="24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styleId="MarginTextChar" w:customStyle="1">
    <w:name w:val="Margin Text Char"/>
    <w:rPr>
      <w:rFonts w:ascii="Arial" w:eastAsia="STZhongsong" w:hAnsi="Arial"/>
      <w:sz w:val="18"/>
      <w:szCs w:val="18"/>
      <w:lang w:eastAsia="zh-CN"/>
    </w:rPr>
  </w:style>
  <w:style w:type="paragraph" w:styleId="GPSL2numberedclause" w:customStyle="1">
    <w:name w:val="GPS L2 numbered clause"/>
    <w:basedOn w:val="Normal"/>
    <w:qFormat w:val="1"/>
    <w:pPr>
      <w:tabs>
        <w:tab w:val="left" w:pos="1134"/>
      </w:tabs>
      <w:suppressAutoHyphens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paragraph" w:styleId="GPSL3numberedclause" w:customStyle="1">
    <w:name w:val="GPS L3 numbered clause"/>
    <w:basedOn w:val="GPSL2numberedclause"/>
    <w:qFormat w:val="1"/>
    <w:pPr>
      <w:tabs>
        <w:tab w:val="clear" w:pos="1134"/>
        <w:tab w:val="left" w:pos="1985"/>
        <w:tab w:val="left" w:pos="2127"/>
      </w:tabs>
      <w:ind w:left="1985" w:hanging="851"/>
    </w:pPr>
  </w:style>
  <w:style w:type="paragraph" w:styleId="GPSL4numberedclause" w:customStyle="1">
    <w:name w:val="GPS L4 numbered clause"/>
    <w:basedOn w:val="GPSL3numberedclause"/>
    <w:qFormat w:val="1"/>
    <w:pPr>
      <w:tabs>
        <w:tab w:val="clear" w:pos="2127"/>
      </w:tabs>
      <w:ind w:left="2835" w:hanging="708"/>
    </w:pPr>
    <w:rPr>
      <w:szCs w:val="20"/>
    </w:rPr>
  </w:style>
  <w:style w:type="character" w:styleId="GPSL2numberedclauseChar1" w:customStyle="1">
    <w:name w:val="GPS L2 numbered clause Char1"/>
    <w:rPr>
      <w:rFonts w:cs="Arial" w:eastAsia="Times New Roman"/>
      <w:sz w:val="22"/>
      <w:szCs w:val="22"/>
      <w:lang w:eastAsia="zh-CN"/>
    </w:rPr>
  </w:style>
  <w:style w:type="character" w:styleId="GPSL3numberedclauseChar" w:customStyle="1">
    <w:name w:val="GPS L3 numbered clause Char"/>
    <w:rPr>
      <w:rFonts w:cs="Arial" w:eastAsia="Times New Roman"/>
      <w:sz w:val="22"/>
      <w:szCs w:val="22"/>
      <w:lang w:eastAsia="zh-CN"/>
    </w:rPr>
  </w:style>
  <w:style w:type="paragraph" w:styleId="GPSL5numberedclause" w:customStyle="1">
    <w:name w:val="GPS L5 numbered clause"/>
    <w:basedOn w:val="GPSL4numberedclause"/>
    <w:qFormat w:val="1"/>
    <w:pPr>
      <w:tabs>
        <w:tab w:val="left" w:pos="3402"/>
      </w:tabs>
      <w:ind w:left="3402" w:hanging="567"/>
    </w:pPr>
  </w:style>
  <w:style w:type="paragraph" w:styleId="GPSL6numbered" w:customStyle="1">
    <w:name w:val="GPS L6 numbered"/>
    <w:basedOn w:val="GPSL5numberedclause"/>
    <w:qFormat w:val="1"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styleId="Style1" w:customStyle="1">
    <w:name w:val="Style1"/>
    <w:basedOn w:val="ListParagraph"/>
    <w:pPr>
      <w:tabs>
        <w:tab w:val="num" w:pos="720"/>
      </w:tabs>
      <w:ind w:hanging="720"/>
    </w:pPr>
    <w:rPr>
      <w:b w:val="1"/>
      <w:sz w:val="20"/>
    </w:rPr>
  </w:style>
  <w:style w:type="character" w:styleId="ListParagraphChar" w:customStyle="1">
    <w:name w:val="List Paragraph Char"/>
    <w:basedOn w:val="DefaultParagraphFont"/>
    <w:rPr>
      <w:sz w:val="22"/>
      <w:szCs w:val="22"/>
      <w:lang w:eastAsia="en-US"/>
    </w:rPr>
  </w:style>
  <w:style w:type="character" w:styleId="Style1Char" w:customStyle="1">
    <w:name w:val="Style1 Char"/>
    <w:basedOn w:val="ListParagraphChar"/>
    <w:rPr>
      <w:b w:val="1"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 w:val="1"/>
      <w:bCs w:val="1"/>
    </w:rPr>
  </w:style>
  <w:style w:type="character" w:styleId="CommentSubjectChar" w:customStyle="1">
    <w:name w:val="Comment Subject Char"/>
    <w:basedOn w:val="CommentTextChar"/>
    <w:rPr>
      <w:b w:val="1"/>
      <w:bCs w:val="1"/>
      <w:lang w:eastAsia="en-US"/>
    </w:rPr>
  </w:style>
  <w:style w:type="paragraph" w:styleId="Revision">
    <w:name w:val="Revision"/>
    <w:rPr>
      <w:lang w:eastAsia="en-US"/>
    </w:rPr>
  </w:style>
  <w:style w:type="paragraph" w:styleId="GPsDefinition" w:customStyle="1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styleId="GPSDefinitionL2Char" w:customStyle="1">
    <w:name w:val="GPS Definition L2 Char"/>
    <w:rPr>
      <w:rFonts w:ascii="Arial" w:cs="Arial" w:eastAsia="Times New Roman" w:hAnsi="Arial"/>
      <w:sz w:val="22"/>
      <w:szCs w:val="22"/>
      <w:lang w:eastAsia="en-US"/>
    </w:rPr>
  </w:style>
  <w:style w:type="paragraph" w:styleId="GPSDefinitionL3" w:customStyle="1">
    <w:name w:val="GPS Definition L3"/>
    <w:basedOn w:val="GPSDefinitionL2"/>
  </w:style>
  <w:style w:type="paragraph" w:styleId="GPSDefinitionL4" w:customStyle="1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styleId="GPSDefinitionL3Char" w:customStyle="1">
    <w:name w:val="GPS Definition L3 Char"/>
    <w:rPr>
      <w:rFonts w:ascii="Arial" w:cs="Arial" w:eastAsia="Times New Roman" w:hAnsi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cs="Arial" w:eastAsia="Times New Roman" w:hAnsi="Arial"/>
      <w:sz w:val="20"/>
      <w:szCs w:val="20"/>
    </w:rPr>
  </w:style>
  <w:style w:type="character" w:styleId="FootnoteTextChar" w:customStyle="1">
    <w:name w:val="Footnote Text Char"/>
    <w:basedOn w:val="DefaultParagraphFont"/>
    <w:rPr>
      <w:rFonts w:ascii="Arial" w:cs="Arial" w:eastAsia="Times New Roman" w:hAnsi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styleId="BodyTextChar" w:customStyle="1">
    <w:name w:val="Body Text Char"/>
    <w:basedOn w:val="DefaultParagraphFont"/>
    <w:rPr>
      <w:sz w:val="22"/>
      <w:szCs w:val="22"/>
      <w:lang w:eastAsia="en-US"/>
    </w:rPr>
  </w:style>
  <w:style w:type="paragraph" w:styleId="Level2Heading" w:customStyle="1">
    <w:name w:val="Level 2 Heading"/>
    <w:basedOn w:val="BodyText"/>
    <w:next w:val="BodyText2"/>
    <w:pPr>
      <w:keepNext w:val="1"/>
      <w:tabs>
        <w:tab w:val="left" w:pos="360"/>
      </w:tabs>
      <w:suppressAutoHyphens w:val="0"/>
      <w:spacing w:after="200" w:before="360" w:line="360" w:lineRule="auto"/>
      <w:outlineLvl w:val="1"/>
    </w:pPr>
    <w:rPr>
      <w:rFonts w:ascii="Arial" w:eastAsia="Times New Roman" w:hAnsi="Arial"/>
      <w:b w:val="1"/>
      <w:sz w:val="20"/>
      <w:szCs w:val="20"/>
      <w:lang w:eastAsia="en-GB"/>
    </w:rPr>
  </w:style>
  <w:style w:type="paragraph" w:styleId="Level3Number" w:customStyle="1">
    <w:name w:val="Level 3 Number"/>
    <w:basedOn w:val="BodyText"/>
    <w:pPr>
      <w:tabs>
        <w:tab w:val="left" w:pos="360"/>
      </w:tabs>
      <w:suppressAutoHyphens w:val="0"/>
      <w:spacing w:after="200" w:before="360" w:line="360" w:lineRule="auto"/>
    </w:pPr>
    <w:rPr>
      <w:rFonts w:ascii="Arial" w:eastAsia="Times New Roman" w:hAnsi="Arial"/>
      <w:sz w:val="20"/>
      <w:szCs w:val="20"/>
    </w:rPr>
  </w:style>
  <w:style w:type="paragraph" w:styleId="Level4Number" w:customStyle="1">
    <w:name w:val="Level 4 Number"/>
    <w:basedOn w:val="BodyText"/>
    <w:pPr>
      <w:tabs>
        <w:tab w:val="left" w:pos="360"/>
      </w:tabs>
      <w:suppressAutoHyphens w:val="0"/>
      <w:spacing w:after="200" w:before="360" w:line="360" w:lineRule="auto"/>
    </w:pPr>
    <w:rPr>
      <w:rFonts w:ascii="Arial" w:eastAsia="Times New Roman" w:hAnsi="Arial"/>
      <w:sz w:val="20"/>
      <w:szCs w:val="20"/>
    </w:rPr>
  </w:style>
  <w:style w:type="paragraph" w:styleId="Level5Number" w:customStyle="1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styleId="Level6Number" w:customStyle="1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styleId="Level7Number" w:customStyle="1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styleId="Level8Number" w:customStyle="1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styleId="BodyText2Char" w:customStyle="1">
    <w:name w:val="Body Text 2 Char"/>
    <w:basedOn w:val="DefaultParagraphFont"/>
    <w:rPr>
      <w:sz w:val="22"/>
      <w:szCs w:val="22"/>
      <w:lang w:eastAsia="en-US"/>
    </w:rPr>
  </w:style>
  <w:style w:type="character" w:styleId="GPSL2NumberedBoldHeadingChar" w:customStyle="1">
    <w:name w:val="GPS L2 Numbered Bold Heading Char"/>
    <w:rPr>
      <w:rFonts w:cs="Arial" w:eastAsia="Times New Roman"/>
      <w:b w:val="1"/>
      <w:sz w:val="22"/>
      <w:szCs w:val="22"/>
      <w:lang w:eastAsia="zh-CN"/>
    </w:rPr>
  </w:style>
  <w:style w:type="paragraph" w:styleId="GPSL2Indent" w:customStyle="1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cs="Arial" w:eastAsia="Times New Roman"/>
      <w:szCs w:val="24"/>
    </w:rPr>
  </w:style>
  <w:style w:type="paragraph" w:styleId="GPSL2Numbered" w:customStyle="1">
    <w:name w:val="GPS L2 Numbered"/>
    <w:basedOn w:val="GPSL2NumberedBoldHeading"/>
    <w:qFormat w:val="1"/>
    <w:pPr>
      <w:tabs>
        <w:tab w:val="left" w:pos="709"/>
      </w:tabs>
      <w:ind w:hanging="360"/>
    </w:pPr>
    <w:rPr>
      <w:b w:val="0"/>
    </w:rPr>
  </w:style>
  <w:style w:type="character" w:styleId="GPSL2NumberedChar" w:customStyle="1">
    <w:name w:val="GPS L2 Numbered Char"/>
    <w:rPr>
      <w:rFonts w:cs="Arial" w:eastAsia="Times New Roman"/>
      <w:sz w:val="22"/>
      <w:szCs w:val="22"/>
      <w:lang w:eastAsia="zh-CN"/>
    </w:rPr>
  </w:style>
  <w:style w:type="character" w:styleId="GPSL2IndentChar" w:customStyle="1">
    <w:name w:val="GPS L2 Indent Char"/>
    <w:rPr>
      <w:rFonts w:cs="Arial" w:eastAsia="Times New Roman"/>
      <w:sz w:val="22"/>
      <w:szCs w:val="24"/>
      <w:lang w:eastAsia="en-US"/>
    </w:rPr>
  </w:style>
  <w:style w:type="character" w:styleId="GPSL4numberedclauseChar" w:customStyle="1">
    <w:name w:val="GPS L4 numbered clause Char"/>
    <w:rPr>
      <w:rFonts w:cs="Arial" w:eastAsia="Times New Roman"/>
      <w:sz w:val="22"/>
      <w:lang w:eastAsia="zh-CN"/>
    </w:rPr>
  </w:style>
  <w:style w:type="paragraph" w:styleId="GPSL3Indent" w:customStyle="1">
    <w:name w:val="GPS L3 Indent"/>
    <w:basedOn w:val="Normal"/>
    <w:pPr>
      <w:tabs>
        <w:tab w:val="left" w:pos="2127"/>
      </w:tabs>
      <w:suppressAutoHyphens w:val="0"/>
      <w:spacing w:after="120" w:before="120" w:line="240" w:lineRule="auto"/>
      <w:ind w:left="2127"/>
      <w:jc w:val="both"/>
    </w:pPr>
    <w:rPr>
      <w:rFonts w:ascii="Arial" w:cs="Arial" w:eastAsia="Times New Roman" w:hAnsi="Arial"/>
      <w:lang w:eastAsia="zh-CN" w:val="en-US"/>
    </w:rPr>
  </w:style>
  <w:style w:type="character" w:styleId="GPSL3IndentChar" w:customStyle="1">
    <w:name w:val="GPS L3 Indent Char"/>
    <w:rPr>
      <w:rFonts w:ascii="Arial" w:cs="Arial" w:eastAsia="Times New Roman" w:hAnsi="Arial"/>
      <w:sz w:val="22"/>
      <w:szCs w:val="22"/>
      <w:lang w:eastAsia="zh-CN" w:val="en-US"/>
    </w:rPr>
  </w:style>
  <w:style w:type="character" w:styleId="GPSL5numberedclauseChar" w:customStyle="1">
    <w:name w:val="GPS L5 numbered clause Char"/>
    <w:rPr>
      <w:rFonts w:cs="Arial" w:eastAsia="Times New Roman"/>
      <w:sz w:val="22"/>
      <w:lang w:eastAsia="zh-CN"/>
    </w:rPr>
  </w:style>
  <w:style w:type="paragraph" w:styleId="Body3" w:customStyle="1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styleId="GPSDefinitionTerm" w:customStyle="1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cs="Arial" w:eastAsia="Times New Roman"/>
      <w:b w:val="1"/>
    </w:rPr>
  </w:style>
  <w:style w:type="character" w:styleId="Heading7Char" w:customStyle="1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styleId="Heading8Char" w:customStyle="1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styleId="GPSL4boldheading" w:customStyle="1">
    <w:name w:val="GPS L4 bold heading"/>
    <w:basedOn w:val="GPSL3numberedclause"/>
    <w:pPr>
      <w:numPr>
        <w:numId w:val="5"/>
      </w:numPr>
    </w:pPr>
    <w:rPr>
      <w:b w:val="1"/>
    </w:rPr>
  </w:style>
  <w:style w:type="character" w:styleId="GPSL4boldheadingChar" w:customStyle="1">
    <w:name w:val="GPS L4 bold heading Char"/>
    <w:rPr>
      <w:rFonts w:cs="Arial" w:eastAsia="Times New Roman"/>
      <w:b w:val="1"/>
      <w:sz w:val="22"/>
      <w:szCs w:val="22"/>
      <w:lang w:eastAsia="zh-CN"/>
    </w:rPr>
  </w:style>
  <w:style w:type="numbering" w:styleId="WWOutlineListStyle7" w:customStyle="1">
    <w:name w:val="WW_OutlineListStyle_7"/>
    <w:basedOn w:val="NoList"/>
  </w:style>
  <w:style w:type="numbering" w:styleId="WWOutlineListStyle6" w:customStyle="1">
    <w:name w:val="WW_OutlineListStyle_6"/>
    <w:basedOn w:val="NoList"/>
  </w:style>
  <w:style w:type="numbering" w:styleId="WWOutlineListStyle5" w:customStyle="1">
    <w:name w:val="WW_OutlineListStyle_5"/>
    <w:basedOn w:val="NoList"/>
  </w:style>
  <w:style w:type="numbering" w:styleId="WWOutlineListStyle4" w:customStyle="1">
    <w:name w:val="WW_OutlineListStyle_4"/>
    <w:basedOn w:val="NoList"/>
  </w:style>
  <w:style w:type="numbering" w:styleId="WWOutlineListStyle3" w:customStyle="1">
    <w:name w:val="WW_OutlineListStyle_3"/>
    <w:basedOn w:val="NoList"/>
  </w:style>
  <w:style w:type="numbering" w:styleId="WWOutlineListStyle2" w:customStyle="1">
    <w:name w:val="WW_OutlineListStyle_2"/>
    <w:basedOn w:val="NoList"/>
  </w:style>
  <w:style w:type="numbering" w:styleId="WWOutlineListStyle1" w:customStyle="1">
    <w:name w:val="WW_OutlineListStyle_1"/>
    <w:basedOn w:val="NoList"/>
  </w:style>
  <w:style w:type="numbering" w:styleId="WWOutlineListStyle" w:customStyle="1">
    <w:name w:val="WW_OutlineListStyle"/>
    <w:basedOn w:val="NoList"/>
  </w:style>
  <w:style w:type="numbering" w:styleId="LFO7" w:customStyle="1">
    <w:name w:val="LFO7"/>
    <w:basedOn w:val="NoList"/>
  </w:style>
  <w:style w:type="numbering" w:styleId="LFO9" w:customStyle="1">
    <w:name w:val="LFO9"/>
    <w:basedOn w:val="NoList"/>
  </w:style>
  <w:style w:type="numbering" w:styleId="LFO10" w:customStyle="1">
    <w:name w:val="LFO10"/>
    <w:basedOn w:val="NoList"/>
  </w:style>
  <w:style w:type="numbering" w:styleId="LFO12" w:customStyle="1">
    <w:name w:val="LFO12"/>
    <w:basedOn w:val="NoList"/>
  </w:style>
  <w:style w:type="numbering" w:styleId="LFO13" w:customStyle="1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0000BF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TableGrid">
    <w:name w:val="Table Grid"/>
    <w:basedOn w:val="TableNormal"/>
    <w:uiPriority w:val="5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3-Accent51" w:customStyle="1">
    <w:name w:val="List Table 3 - Accent 51"/>
    <w:basedOn w:val="TableNormal"/>
    <w:uiPriority w:val="48"/>
    <w:tblPr>
      <w:tblStyleRowBandSize w:val="1"/>
      <w:tblStyleColBandSize w:val="1"/>
      <w:tblBorders>
        <w:top w:color="4bacc6" w:space="0" w:sz="4" w:themeColor="accent5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</w:tblBorders>
    </w:tblPr>
    <w:tblStylePr w:type="firstRow"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rPr>
        <w:b w:val="1"/>
        <w:bCs w:val="1"/>
      </w:rPr>
      <w:tblPr/>
      <w:tcPr>
        <w:tcBorders>
          <w:top w:color="4bacc6" w:space="0" w:sz="4" w:themeColor="accent5" w:val="doub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  <w:tcPr>
        <w:tcBorders>
          <w:right w:space="0" w:sz="0" w:val="nil"/>
        </w:tcBorders>
        <w:shd w:color="auto" w:fill="ffffff" w:themeFill="background1" w:val="clear"/>
      </w:tcPr>
    </w:tblStylePr>
    <w:tblStylePr w:type="lastCol">
      <w:rPr>
        <w:b w:val="1"/>
        <w:bCs w:val="1"/>
      </w:rPr>
      <w:tblPr/>
      <w:tcPr>
        <w:tcBorders>
          <w:left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color="4bacc6" w:space="0" w:sz="4" w:themeColor="accent5" w:val="single"/>
          <w:right w:color="4bacc6" w:space="0" w:sz="4" w:themeColor="accent5" w:val="single"/>
        </w:tcBorders>
      </w:tcPr>
    </w:tblStylePr>
    <w:tblStylePr w:type="band1Horz">
      <w:tblPr/>
      <w:tcPr>
        <w:tcBorders>
          <w:top w:color="4bacc6" w:space="0" w:sz="4" w:themeColor="accent5" w:val="single"/>
          <w:bottom w:color="4bacc6" w:space="0" w:sz="4" w:themeColor="accent5" w:val="single"/>
          <w:insideH w:space="0" w:sz="0" w:val="nil"/>
        </w:tcBorders>
      </w:tcPr>
    </w:tblStylePr>
    <w:tblStylePr w:type="neCell">
      <w:tblPr/>
      <w:tcPr>
        <w:tcBorders>
          <w:left w:space="0" w:sz="0" w:val="nil"/>
          <w:bottom w:space="0" w:sz="0" w:val="nil"/>
        </w:tcBorders>
      </w:tcPr>
    </w:tblStylePr>
    <w:tblStylePr w:type="nwCell">
      <w:tblPr/>
      <w:tcPr>
        <w:tcBorders>
          <w:bottom w:space="0" w:sz="0" w:val="nil"/>
          <w:right w:space="0" w:sz="0" w:val="nil"/>
        </w:tcBorders>
      </w:tcPr>
    </w:tblStylePr>
    <w:tblStylePr w:type="seCell">
      <w:tblPr/>
      <w:tcPr>
        <w:tcBorders>
          <w:top w:color="4bacc6" w:space="0" w:sz="4" w:themeColor="accent5" w:val="double"/>
          <w:left w:space="0" w:sz="0" w:val="nil"/>
        </w:tcBorders>
      </w:tcPr>
    </w:tblStylePr>
    <w:tblStylePr w:type="swCell">
      <w:tblPr/>
      <w:tcPr>
        <w:tcBorders>
          <w:top w:color="4bacc6" w:space="0" w:sz="4" w:themeColor="accent5" w:val="double"/>
          <w:right w:space="0" w:sz="0" w:val="nil"/>
        </w:tcBorders>
      </w:tcPr>
    </w:tblStylePr>
  </w:style>
  <w:style w:type="table" w:styleId="GridTable2-Accent51" w:customStyle="1">
    <w:name w:val="Grid Table 2 - Accent 51"/>
    <w:basedOn w:val="TableNormal"/>
    <w:uiPriority w:val="47"/>
    <w:tblPr>
      <w:tblStyleRowBandSize w:val="1"/>
      <w:tblStyleColBandSize w:val="1"/>
      <w:tblBorders>
        <w:top w:color="92cddc" w:space="0" w:sz="2" w:themeColor="accent5" w:themeTint="000099" w:val="single"/>
        <w:bottom w:color="92cddc" w:space="0" w:sz="2" w:themeColor="accent5" w:themeTint="000099" w:val="single"/>
        <w:insideH w:color="92cddc" w:space="0" w:sz="2" w:themeColor="accent5" w:themeTint="000099" w:val="single"/>
        <w:insideV w:color="92cddc" w:space="0" w:sz="2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bottom w:color="92cddc" w:space="0" w:sz="12" w:themeColor="accent5" w:themeTint="000099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top w:color="92cddc" w:space="0" w:sz="2" w:themeColor="accent5" w:themeTint="000099" w:val="double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2-Accent11" w:customStyle="1">
    <w:name w:val="Grid Table 2 - Accent 11"/>
    <w:basedOn w:val="TableNormal"/>
    <w:uiPriority w:val="47"/>
    <w:tblPr>
      <w:tblStyleRowBandSize w:val="1"/>
      <w:tblStyleColBandSize w:val="1"/>
      <w:tblBorders>
        <w:top w:color="95b3d7" w:space="0" w:sz="2" w:themeColor="accent1" w:themeTint="000099" w:val="single"/>
        <w:bottom w:color="95b3d7" w:space="0" w:sz="2" w:themeColor="accent1" w:themeTint="000099" w:val="single"/>
        <w:insideH w:color="95b3d7" w:space="0" w:sz="2" w:themeColor="accent1" w:themeTint="000099" w:val="single"/>
        <w:insideV w:color="95b3d7" w:space="0" w:sz="2" w:themeColor="accent1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bottom w:color="95b3d7" w:space="0" w:sz="12" w:themeColor="accent1" w:themeTint="000099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top w:color="95b3d7" w:space="0" w:sz="2" w:themeColor="accent1" w:themeTint="000099" w:val="double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GridTable4-Accent11" w:customStyle="1">
    <w:name w:val="Grid Table 4 - Accent 11"/>
    <w:basedOn w:val="TableNormal"/>
    <w:uiPriority w:val="49"/>
    <w:tblPr>
      <w:tblStyleRowBandSize w:val="1"/>
      <w:tblStyleColBandSize w:val="1"/>
      <w:tblBorders>
        <w:top w:color="95b3d7" w:space="0" w:sz="4" w:themeColor="accent1" w:themeTint="000099" w:val="single"/>
        <w:left w:color="95b3d7" w:space="0" w:sz="4" w:themeColor="accent1" w:themeTint="000099" w:val="single"/>
        <w:bottom w:color="95b3d7" w:space="0" w:sz="4" w:themeColor="accent1" w:themeTint="000099" w:val="single"/>
        <w:right w:color="95b3d7" w:space="0" w:sz="4" w:themeColor="accent1" w:themeTint="000099" w:val="single"/>
        <w:insideH w:color="95b3d7" w:space="0" w:sz="4" w:themeColor="accent1" w:themeTint="000099" w:val="single"/>
        <w:insideV w:color="95b3d7" w:space="0" w:sz="4" w:themeColor="accent1" w:themeTint="000099" w:val="single"/>
      </w:tblBorders>
    </w:tblPr>
    <w:tblStylePr w:type="firstRow">
      <w:rPr>
        <w:b w:val="1"/>
        <w:bCs w:val="1"/>
        <w:color w:val="ffffff" w:themeColor="background1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rPr>
        <w:b w:val="1"/>
        <w:bCs w:val="1"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GridTable6Colorful-Accent11" w:customStyle="1">
    <w:name w:val="Grid Table 6 Colorful - Accent 11"/>
    <w:basedOn w:val="TableNormal"/>
    <w:uiPriority w:val="51"/>
    <w:rPr>
      <w:color w:val="365f91" w:themeColor="accent1" w:themeShade="0000BF"/>
    </w:rPr>
    <w:tblPr>
      <w:tblStyleRowBandSize w:val="1"/>
      <w:tblStyleColBandSize w:val="1"/>
      <w:tblBorders>
        <w:top w:color="95b3d7" w:space="0" w:sz="4" w:themeColor="accent1" w:themeTint="000099" w:val="single"/>
        <w:left w:color="95b3d7" w:space="0" w:sz="4" w:themeColor="accent1" w:themeTint="000099" w:val="single"/>
        <w:bottom w:color="95b3d7" w:space="0" w:sz="4" w:themeColor="accent1" w:themeTint="000099" w:val="single"/>
        <w:right w:color="95b3d7" w:space="0" w:sz="4" w:themeColor="accent1" w:themeTint="000099" w:val="single"/>
        <w:insideH w:color="95b3d7" w:space="0" w:sz="4" w:themeColor="accent1" w:themeTint="000099" w:val="single"/>
        <w:insideV w:color="95b3d7" w:space="0" w:sz="4" w:themeColor="accent1" w:themeTint="000099" w:val="single"/>
      </w:tblBorders>
    </w:tblPr>
    <w:tblStylePr w:type="firstRow">
      <w:rPr>
        <w:b w:val="1"/>
        <w:bCs w:val="1"/>
      </w:rPr>
      <w:tblPr/>
      <w:tcPr>
        <w:tcBorders>
          <w:bottom w:color="95b3d7" w:space="0" w:sz="12" w:themeColor="accent1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5b3d7" w:space="0" w:sz="4" w:themeColor="accent1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paragraph" w:styleId="EndnoteText">
    <w:name w:val="endnote text"/>
    <w:basedOn w:val="Normal"/>
    <w:link w:val="End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 w:val="1"/>
    <w:rPr>
      <w:lang w:eastAsia="en-US"/>
    </w:rPr>
  </w:style>
  <w:style w:type="character" w:styleId="EndnoteReference">
    <w:name w:val="endnote reference"/>
    <w:basedOn w:val="DefaultParagraphFont"/>
    <w:uiPriority w:val="99"/>
    <w:semiHidden w:val="1"/>
    <w:unhideWhenUsed w:val="1"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after="0" w:before="0" w:line="240" w:lineRule="auto"/>
      </w:pPr>
      <w:rPr>
        <w:b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</w:rPr>
      <w:tblPr/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a0" w:customStyle="1">
    <w:basedOn w:val="TableNormal"/>
    <w:rPr>
      <w:color w:val="366091"/>
    </w:rPr>
    <w:tblPr>
      <w:tblStyleRowBandSize w:val="1"/>
      <w:tblStyleColBandSize w:val="1"/>
    </w:tblPr>
  </w:style>
  <w:style w:type="table" w:styleId="a1" w:customStyle="1">
    <w:basedOn w:val="TableNormal"/>
    <w:rPr>
      <w:color w:val="366091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top w:space="0" w:sz="0" w:val="nil"/>
          <w:bottom w:color="95b3d7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5b3d7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5f1" w:val="clear"/>
      </w:tcPr>
    </w:tblStylePr>
    <w:tblStylePr w:type="band1Horz">
      <w:tblPr/>
      <w:tcPr>
        <w:shd w:color="auto" w:fill="dbe5f1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firstRow">
      <w:pPr>
        <w:spacing w:after="0" w:before="0" w:line="240" w:lineRule="auto"/>
      </w:pPr>
      <w:rPr>
        <w:b w:val="1"/>
        <w:color w:val="ffffff"/>
      </w:rPr>
      <w:tcPr>
        <w:shd w:fill="000000" w:val="clear"/>
      </w:tcPr>
    </w:tblStylePr>
    <w:tblStylePr w:type="lastCol">
      <w:rPr>
        <w:b w:val="1"/>
      </w:rPr>
    </w:tblStylePr>
    <w:tblStylePr w:type="lastRow">
      <w:pPr>
        <w:spacing w:after="0" w:before="0" w:line="240" w:lineRule="auto"/>
      </w:pPr>
      <w:rPr>
        <w:b w:val="1"/>
      </w:rPr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Table2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5f1" w:val="clear"/>
      </w:tcPr>
    </w:tblStylePr>
    <w:tblStylePr w:type="band1Vert">
      <w:tcPr>
        <w:shd w:fill="dbe5f1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top w:color="000000" w:space="0" w:sz="0" w:val="nil"/>
          <w:bottom w:color="95b3d7" w:space="0" w:sz="12" w:val="single"/>
          <w:insideH w:color="000000" w:space="0" w:sz="0" w:val="nil"/>
          <w:insideV w:color="000000" w:space="0" w:sz="0" w:val="nil"/>
        </w:tcBorders>
        <w:shd w:fill="ffffff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5b3d7" w:space="0" w:sz="4" w:val="single"/>
          <w:bottom w:color="000000" w:space="0" w:sz="0" w:val="nil"/>
          <w:insideH w:color="000000" w:space="0" w:sz="0" w:val="nil"/>
          <w:insideV w:color="000000" w:space="0" w:sz="0" w:val="nil"/>
        </w:tcBorders>
        <w:shd w:fill="ffffff" w:val="clear"/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2.png"/><Relationship Id="rId10" Type="http://schemas.openxmlformats.org/officeDocument/2006/relationships/footer" Target="footer2.xml"/><Relationship Id="rId12" Type="http://schemas.openxmlformats.org/officeDocument/2006/relationships/image" Target="media/image1.png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JYMKqJQ2mEAx8+5Y2mUGPepWMA==">CgMxLjAyCGguZ2pkZ3hzMgppZC4zMGowemxsOAByITEzLXdJX2sxRXpoY2txSHVER1p4WWlfWUFWTy1WM3RkcQ==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2024-08-09T13:23:00Z</dcterms:created>
  <dc:creator>Andrew Thomas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iManageFooter">
    <vt:lpwstr>#109517308v4&lt;L_LIVE_EMEA1&gt; - PPA v3.0 (Framework Award Form v3.11)</vt:lpwstr>
  </property>
</Properties>
</file>